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1EA" w:rsidRPr="00C32A51" w:rsidRDefault="003A21EA" w:rsidP="003A21EA">
      <w:pPr>
        <w:tabs>
          <w:tab w:val="left" w:pos="567"/>
          <w:tab w:val="left" w:pos="1134"/>
          <w:tab w:val="left" w:pos="1701"/>
          <w:tab w:val="left" w:pos="4536"/>
        </w:tabs>
        <w:spacing w:before="240"/>
        <w:ind w:left="4536"/>
        <w:rPr>
          <w:b/>
          <w:bCs/>
          <w:lang w:val="sv-SE"/>
        </w:rPr>
      </w:pPr>
      <w:bookmarkStart w:id="0" w:name="_GoBack"/>
      <w:bookmarkEnd w:id="0"/>
      <w:r>
        <w:rPr>
          <w:b/>
          <w:bCs/>
          <w:lang w:val="sv-SE"/>
        </w:rPr>
        <w:t>Allmänna utskottets betänkande 2/2016 om stiftsfullmäktigeframställning 1/2016</w:t>
      </w:r>
    </w:p>
    <w:p w:rsidR="003A21EA" w:rsidRPr="00C32A51" w:rsidRDefault="003A21EA" w:rsidP="003A21EA">
      <w:pPr>
        <w:tabs>
          <w:tab w:val="left" w:pos="567"/>
          <w:tab w:val="left" w:pos="1134"/>
          <w:tab w:val="left" w:pos="1701"/>
          <w:tab w:val="left" w:pos="4536"/>
        </w:tabs>
        <w:spacing w:before="240"/>
        <w:ind w:left="4536"/>
        <w:rPr>
          <w:b/>
          <w:bCs/>
          <w:lang w:val="sv-SE"/>
        </w:rPr>
      </w:pPr>
      <w:r>
        <w:rPr>
          <w:b/>
          <w:bCs/>
          <w:lang w:val="sv-SE"/>
        </w:rPr>
        <w:t>Medlemskapets bevarande till valperiodens utgång för en person som innehar förtroend</w:t>
      </w:r>
      <w:r>
        <w:rPr>
          <w:b/>
          <w:bCs/>
          <w:lang w:val="sv-SE"/>
        </w:rPr>
        <w:t>e</w:t>
      </w:r>
      <w:r>
        <w:rPr>
          <w:b/>
          <w:bCs/>
          <w:lang w:val="sv-SE"/>
        </w:rPr>
        <w:t>uppdrag i församlingen</w:t>
      </w:r>
    </w:p>
    <w:p w:rsidR="003A21EA" w:rsidRPr="00C32A51" w:rsidRDefault="003A21EA" w:rsidP="003A21EA">
      <w:pPr>
        <w:tabs>
          <w:tab w:val="left" w:pos="567"/>
          <w:tab w:val="left" w:pos="1134"/>
          <w:tab w:val="left" w:pos="1701"/>
          <w:tab w:val="left" w:pos="4536"/>
        </w:tabs>
        <w:ind w:left="4536"/>
        <w:jc w:val="right"/>
        <w:rPr>
          <w:bCs/>
          <w:lang w:val="sv-SE"/>
        </w:rPr>
      </w:pPr>
    </w:p>
    <w:p w:rsidR="003A21EA" w:rsidRPr="00C32A51" w:rsidRDefault="003A21EA" w:rsidP="003A21EA">
      <w:pPr>
        <w:tabs>
          <w:tab w:val="left" w:pos="567"/>
          <w:tab w:val="left" w:pos="1134"/>
          <w:tab w:val="left" w:pos="1701"/>
          <w:tab w:val="left" w:pos="4536"/>
        </w:tabs>
        <w:ind w:left="4536"/>
        <w:jc w:val="right"/>
        <w:rPr>
          <w:bCs/>
          <w:lang w:val="sv-SE"/>
        </w:rPr>
      </w:pPr>
      <w:r>
        <w:rPr>
          <w:lang w:val="sv-SE"/>
        </w:rPr>
        <w:t>DKIR/547/00.00.01/2016</w:t>
      </w:r>
    </w:p>
    <w:p w:rsidR="003A21EA" w:rsidRPr="00C32A51" w:rsidRDefault="003A21EA" w:rsidP="003A21EA">
      <w:pPr>
        <w:tabs>
          <w:tab w:val="left" w:pos="567"/>
          <w:tab w:val="left" w:pos="1134"/>
          <w:tab w:val="left" w:pos="1701"/>
          <w:tab w:val="left" w:pos="4536"/>
        </w:tabs>
        <w:ind w:left="4536"/>
        <w:jc w:val="right"/>
        <w:rPr>
          <w:bCs/>
          <w:lang w:val="sv-SE"/>
        </w:rPr>
      </w:pPr>
      <w:r>
        <w:rPr>
          <w:lang w:val="sv-SE"/>
        </w:rPr>
        <w:t>Ärendenr KK2016-00004</w:t>
      </w:r>
    </w:p>
    <w:p w:rsidR="003A21EA" w:rsidRPr="00C32A51" w:rsidRDefault="003A21EA" w:rsidP="003A21EA">
      <w:pPr>
        <w:tabs>
          <w:tab w:val="left" w:pos="567"/>
          <w:tab w:val="left" w:pos="1134"/>
          <w:tab w:val="left" w:pos="1701"/>
          <w:tab w:val="left" w:pos="4536"/>
        </w:tabs>
        <w:spacing w:before="240"/>
        <w:ind w:left="4536"/>
        <w:jc w:val="right"/>
        <w:rPr>
          <w:bCs/>
          <w:lang w:val="sv-SE"/>
        </w:rPr>
      </w:pPr>
    </w:p>
    <w:p w:rsidR="003A21EA" w:rsidRPr="00C32A51" w:rsidRDefault="003A21EA" w:rsidP="003A21EA">
      <w:pPr>
        <w:tabs>
          <w:tab w:val="left" w:pos="567"/>
          <w:tab w:val="left" w:pos="1134"/>
          <w:tab w:val="left" w:pos="1701"/>
        </w:tabs>
        <w:spacing w:before="240"/>
        <w:ind w:left="567"/>
        <w:rPr>
          <w:lang w:val="sv-SE"/>
        </w:rPr>
      </w:pPr>
    </w:p>
    <w:p w:rsidR="003A21EA" w:rsidRPr="00C32A51" w:rsidRDefault="003A21EA" w:rsidP="003A21EA">
      <w:pPr>
        <w:tabs>
          <w:tab w:val="left" w:pos="567"/>
          <w:tab w:val="left" w:pos="1134"/>
          <w:tab w:val="left" w:pos="1701"/>
        </w:tabs>
        <w:spacing w:before="240"/>
        <w:ind w:left="567"/>
        <w:rPr>
          <w:lang w:val="sv-SE"/>
        </w:rPr>
      </w:pPr>
      <w:r w:rsidRPr="00C32A51">
        <w:rPr>
          <w:b/>
          <w:i/>
          <w:lang w:val="sv-SE"/>
        </w:rPr>
        <w:t xml:space="preserve"> </w:t>
      </w:r>
      <w:r w:rsidRPr="00C32A51">
        <w:rPr>
          <w:lang w:val="sv-SE"/>
        </w:rPr>
        <w:t xml:space="preserve"> </w:t>
      </w:r>
    </w:p>
    <w:p w:rsidR="003A21EA" w:rsidRPr="00C32A51" w:rsidRDefault="003A21EA" w:rsidP="003A21EA">
      <w:pPr>
        <w:tabs>
          <w:tab w:val="left" w:pos="567"/>
          <w:tab w:val="left" w:pos="1134"/>
          <w:tab w:val="left" w:pos="1701"/>
        </w:tabs>
        <w:spacing w:before="240"/>
        <w:ind w:left="567"/>
        <w:jc w:val="both"/>
        <w:rPr>
          <w:lang w:val="sv-SE"/>
        </w:rPr>
      </w:pPr>
      <w:r>
        <w:rPr>
          <w:lang w:val="sv-SE"/>
        </w:rPr>
        <w:t>Kyrkomötet remitterade i plenum den 11 maj 2016 ärendet till allmänna utskottet för b</w:t>
      </w:r>
      <w:r>
        <w:rPr>
          <w:lang w:val="sv-SE"/>
        </w:rPr>
        <w:t>e</w:t>
      </w:r>
      <w:r>
        <w:rPr>
          <w:lang w:val="sv-SE"/>
        </w:rPr>
        <w:t xml:space="preserve">redning. Utskottet har hört ecklesiastikrådet Pirjo Pihlaja från Kyrkostyrelsen. </w:t>
      </w:r>
    </w:p>
    <w:p w:rsidR="003A21EA" w:rsidRPr="00C32A51" w:rsidRDefault="003A21EA" w:rsidP="003A21EA">
      <w:pPr>
        <w:tabs>
          <w:tab w:val="left" w:pos="567"/>
          <w:tab w:val="left" w:pos="1134"/>
          <w:tab w:val="left" w:pos="1701"/>
        </w:tabs>
        <w:spacing w:before="240"/>
        <w:ind w:left="567"/>
        <w:jc w:val="both"/>
        <w:rPr>
          <w:lang w:val="sv-SE"/>
        </w:rPr>
      </w:pPr>
    </w:p>
    <w:p w:rsidR="003A21EA" w:rsidRPr="00C32A51" w:rsidRDefault="003A21EA" w:rsidP="003A21EA">
      <w:pPr>
        <w:pStyle w:val="Mietint-Potsikko"/>
        <w:tabs>
          <w:tab w:val="left" w:pos="567"/>
          <w:tab w:val="left" w:pos="1134"/>
          <w:tab w:val="left" w:pos="1701"/>
        </w:tabs>
        <w:spacing w:before="240"/>
        <w:jc w:val="both"/>
        <w:rPr>
          <w:lang w:val="sv-SE"/>
        </w:rPr>
      </w:pPr>
      <w:r>
        <w:rPr>
          <w:bCs/>
          <w:lang w:val="sv-SE"/>
        </w:rPr>
        <w:t>1. Stiftsfullmäktiges framställning</w:t>
      </w:r>
    </w:p>
    <w:p w:rsidR="003A21EA" w:rsidRPr="00C32A51" w:rsidRDefault="003A21EA" w:rsidP="003A21EA">
      <w:pPr>
        <w:tabs>
          <w:tab w:val="left" w:pos="567"/>
          <w:tab w:val="left" w:pos="1134"/>
          <w:tab w:val="left" w:pos="1701"/>
        </w:tabs>
        <w:spacing w:before="240"/>
        <w:ind w:left="567"/>
        <w:jc w:val="both"/>
        <w:rPr>
          <w:i/>
          <w:lang w:val="sv-SE"/>
        </w:rPr>
      </w:pPr>
      <w:r>
        <w:rPr>
          <w:i/>
          <w:iCs/>
          <w:lang w:val="sv-SE"/>
        </w:rPr>
        <w:t>Stiftsfullmäktige i Åbo ärkestift föreslår att en person som valts till gemensamma kyrk</w:t>
      </w:r>
      <w:r>
        <w:rPr>
          <w:i/>
          <w:iCs/>
          <w:lang w:val="sv-SE"/>
        </w:rPr>
        <w:t>o</w:t>
      </w:r>
      <w:r>
        <w:rPr>
          <w:i/>
          <w:iCs/>
          <w:lang w:val="sv-SE"/>
        </w:rPr>
        <w:t>fullmäktige eller församlingsrådet och som flyttar till en annan församlings område inom samma kyrkliga samfällighet ska bevara sitt medlemskap i den församling där personen sköter ett förtroendeuppdrag till slutet av den valperiod för vilken han eller hon valts.</w:t>
      </w:r>
    </w:p>
    <w:p w:rsidR="003A21EA" w:rsidRPr="00C32A51" w:rsidRDefault="00C32A51" w:rsidP="003A21EA">
      <w:pPr>
        <w:tabs>
          <w:tab w:val="left" w:pos="567"/>
          <w:tab w:val="left" w:pos="1134"/>
          <w:tab w:val="left" w:pos="1701"/>
        </w:tabs>
        <w:spacing w:before="240"/>
        <w:ind w:left="567"/>
        <w:jc w:val="both"/>
        <w:rPr>
          <w:lang w:val="sv-SE"/>
        </w:rPr>
      </w:pPr>
      <w:r w:rsidRPr="00C32A51">
        <w:rPr>
          <w:lang w:val="sv-SE"/>
        </w:rPr>
        <w:lastRenderedPageBreak/>
        <w:t>I framställningen konstateras att en person som valts till gemensamma kyrkofullmäktige eller församlingsrådet i en kyrklig samfällighet måste lämna sitt uppdrag om han eller hon flyttar till en annan församling inom samma samfällighet.</w:t>
      </w:r>
      <w:r w:rsidR="003A21EA">
        <w:rPr>
          <w:lang w:val="sv-SE"/>
        </w:rPr>
        <w:t xml:space="preserve"> För dem som under valperioden satt sig in i sitt förtroendeuppdrag går på så sätt mycket kunskaper och färdigheter till spillo.</w:t>
      </w:r>
    </w:p>
    <w:p w:rsidR="003A21EA" w:rsidRPr="00C32A51" w:rsidRDefault="003A21EA" w:rsidP="003A21EA">
      <w:pPr>
        <w:tabs>
          <w:tab w:val="left" w:pos="567"/>
          <w:tab w:val="left" w:pos="1134"/>
          <w:tab w:val="left" w:pos="1701"/>
        </w:tabs>
        <w:spacing w:before="240"/>
        <w:ind w:left="567"/>
        <w:jc w:val="both"/>
        <w:rPr>
          <w:lang w:val="sv-SE"/>
        </w:rPr>
      </w:pPr>
      <w:r>
        <w:rPr>
          <w:lang w:val="sv-SE"/>
        </w:rPr>
        <w:t>Domkapitlet hänvisar i sin beredning till att valbarheten enligt 23 kap. 2 § i kyrkolagen är bunden vid medlemskapet i en församling och att en medle</w:t>
      </w:r>
      <w:r w:rsidR="00C32A51">
        <w:rPr>
          <w:lang w:val="sv-SE"/>
        </w:rPr>
        <w:t>m av ett organ enligt 23 kap. 4 </w:t>
      </w:r>
      <w:r>
        <w:rPr>
          <w:lang w:val="sv-SE"/>
        </w:rPr>
        <w:t>§ i kyrkolagen befrias från sin uppgift när personen förlorar sin valbarhet. Detta gäller både församlingens och samfällighetens organ även i det fall att medlemmen flyttar inom samma kyrkliga samfällighet.</w:t>
      </w:r>
    </w:p>
    <w:p w:rsidR="003A21EA" w:rsidRPr="00C32A51" w:rsidRDefault="003A21EA" w:rsidP="003A21EA">
      <w:pPr>
        <w:tabs>
          <w:tab w:val="left" w:pos="567"/>
          <w:tab w:val="left" w:pos="1134"/>
          <w:tab w:val="left" w:pos="1701"/>
        </w:tabs>
        <w:spacing w:before="240"/>
        <w:ind w:left="567"/>
        <w:jc w:val="both"/>
        <w:rPr>
          <w:color w:val="000000"/>
          <w:lang w:val="sv-SE"/>
        </w:rPr>
      </w:pPr>
      <w:r>
        <w:rPr>
          <w:lang w:val="sv-SE"/>
        </w:rPr>
        <w:t xml:space="preserve">Enligt beredningen </w:t>
      </w:r>
      <w:r>
        <w:rPr>
          <w:color w:val="000000"/>
          <w:lang w:val="sv-SE"/>
        </w:rPr>
        <w:t>skulle det vara naturligt att den som fått väljarnas förtroende får for</w:t>
      </w:r>
      <w:r>
        <w:rPr>
          <w:color w:val="000000"/>
          <w:lang w:val="sv-SE"/>
        </w:rPr>
        <w:t>t</w:t>
      </w:r>
      <w:r>
        <w:rPr>
          <w:color w:val="000000"/>
          <w:lang w:val="sv-SE"/>
        </w:rPr>
        <w:t>sätta i sitt uppdrag till periodens slut. Initiativet gäller endast förtroendevaldas flyt</w:t>
      </w:r>
      <w:r>
        <w:rPr>
          <w:color w:val="000000"/>
          <w:lang w:val="sv-SE"/>
        </w:rPr>
        <w:t>t</w:t>
      </w:r>
      <w:r>
        <w:rPr>
          <w:color w:val="000000"/>
          <w:lang w:val="sv-SE"/>
        </w:rPr>
        <w:t xml:space="preserve">ningar inom samma kyrkliga samfällighet. Frågan om hur en förtroendevald som i enlighet med initiativet stannar kvar som medlem i samma församling till slutet av </w:t>
      </w:r>
      <w:r w:rsidR="00EF7670">
        <w:rPr>
          <w:color w:val="000000"/>
          <w:lang w:val="sv-SE"/>
        </w:rPr>
        <w:t xml:space="preserve">mandatperioden i praktiken </w:t>
      </w:r>
      <w:r>
        <w:rPr>
          <w:color w:val="000000"/>
          <w:lang w:val="sv-SE"/>
        </w:rPr>
        <w:t xml:space="preserve">ska hanteras </w:t>
      </w:r>
      <w:r w:rsidR="00EF7670">
        <w:rPr>
          <w:color w:val="000000"/>
          <w:lang w:val="sv-SE"/>
        </w:rPr>
        <w:t xml:space="preserve">i </w:t>
      </w:r>
      <w:r>
        <w:rPr>
          <w:color w:val="000000"/>
          <w:lang w:val="sv-SE"/>
        </w:rPr>
        <w:t>befolkningsdatasystemet bör utredas separat.</w:t>
      </w:r>
    </w:p>
    <w:p w:rsidR="003A21EA" w:rsidRPr="00C32A51" w:rsidRDefault="003A21EA" w:rsidP="003A21EA">
      <w:pPr>
        <w:tabs>
          <w:tab w:val="left" w:pos="567"/>
          <w:tab w:val="left" w:pos="1134"/>
          <w:tab w:val="left" w:pos="1701"/>
        </w:tabs>
        <w:spacing w:before="240"/>
        <w:ind w:left="567"/>
        <w:jc w:val="both"/>
        <w:rPr>
          <w:lang w:val="sv-SE"/>
        </w:rPr>
      </w:pPr>
    </w:p>
    <w:p w:rsidR="003A21EA" w:rsidRPr="00C32A51" w:rsidRDefault="003A21EA" w:rsidP="003A21EA">
      <w:pPr>
        <w:tabs>
          <w:tab w:val="left" w:pos="567"/>
          <w:tab w:val="left" w:pos="1134"/>
          <w:tab w:val="left" w:pos="1701"/>
        </w:tabs>
        <w:spacing w:before="240"/>
        <w:jc w:val="both"/>
        <w:rPr>
          <w:b/>
          <w:lang w:val="sv-SE"/>
        </w:rPr>
      </w:pPr>
      <w:r>
        <w:rPr>
          <w:b/>
          <w:bCs/>
          <w:lang w:val="sv-SE"/>
        </w:rPr>
        <w:t>2. Tidigare behandling på kyrkomötet</w:t>
      </w:r>
    </w:p>
    <w:p w:rsidR="003A21EA" w:rsidRPr="00C32A51" w:rsidRDefault="003A21EA" w:rsidP="003A21EA">
      <w:pPr>
        <w:tabs>
          <w:tab w:val="left" w:pos="567"/>
          <w:tab w:val="left" w:pos="1134"/>
          <w:tab w:val="left" w:pos="1701"/>
        </w:tabs>
        <w:spacing w:before="240"/>
        <w:ind w:left="567"/>
        <w:jc w:val="both"/>
        <w:rPr>
          <w:lang w:val="sv-SE"/>
        </w:rPr>
      </w:pPr>
      <w:r>
        <w:rPr>
          <w:lang w:val="sv-SE"/>
        </w:rPr>
        <w:lastRenderedPageBreak/>
        <w:t>Framställningen gäller den s</w:t>
      </w:r>
      <w:r w:rsidR="00C32A51">
        <w:rPr>
          <w:lang w:val="sv-SE"/>
        </w:rPr>
        <w:t>å kallade parokialprincipen, som bygger på att</w:t>
      </w:r>
      <w:r>
        <w:rPr>
          <w:lang w:val="sv-SE"/>
        </w:rPr>
        <w:t xml:space="preserve"> församlingarna </w:t>
      </w:r>
      <w:r w:rsidR="00C32A51">
        <w:rPr>
          <w:lang w:val="sv-SE"/>
        </w:rPr>
        <w:t xml:space="preserve">har </w:t>
      </w:r>
      <w:r>
        <w:rPr>
          <w:lang w:val="sv-SE"/>
        </w:rPr>
        <w:t>ett fas</w:t>
      </w:r>
      <w:r>
        <w:rPr>
          <w:lang w:val="sv-SE"/>
        </w:rPr>
        <w:t>t</w:t>
      </w:r>
      <w:r>
        <w:rPr>
          <w:lang w:val="sv-SE"/>
        </w:rPr>
        <w:t>slaget geografiskt område. Medlemmarna hör till den församling i vars område de har sin stadigvarande bostad.</w:t>
      </w:r>
    </w:p>
    <w:p w:rsidR="003A21EA" w:rsidRPr="00C32A51" w:rsidRDefault="003A21EA" w:rsidP="003A21EA">
      <w:pPr>
        <w:tabs>
          <w:tab w:val="left" w:pos="567"/>
          <w:tab w:val="left" w:pos="1134"/>
          <w:tab w:val="left" w:pos="1701"/>
        </w:tabs>
        <w:spacing w:before="240"/>
        <w:ind w:left="567"/>
        <w:jc w:val="both"/>
        <w:rPr>
          <w:lang w:val="sv-SE"/>
        </w:rPr>
      </w:pPr>
      <w:r>
        <w:rPr>
          <w:lang w:val="sv-SE"/>
        </w:rPr>
        <w:t>Kyrkomötet bad år 2010 Kyrkostyrelsen göra en utredning om grunderna för parokialpri</w:t>
      </w:r>
      <w:r>
        <w:rPr>
          <w:lang w:val="sv-SE"/>
        </w:rPr>
        <w:t>n</w:t>
      </w:r>
      <w:r>
        <w:rPr>
          <w:lang w:val="sv-SE"/>
        </w:rPr>
        <w:t>cipen. Begäran lades fram på basis av förvaltningsutskottets betänkande 1/2010.</w:t>
      </w:r>
    </w:p>
    <w:p w:rsidR="003A21EA" w:rsidRPr="00C32A51" w:rsidRDefault="003A21EA" w:rsidP="003A21EA">
      <w:pPr>
        <w:tabs>
          <w:tab w:val="left" w:pos="567"/>
          <w:tab w:val="left" w:pos="1134"/>
          <w:tab w:val="left" w:pos="1701"/>
        </w:tabs>
        <w:spacing w:before="240"/>
        <w:ind w:left="567"/>
        <w:jc w:val="both"/>
        <w:rPr>
          <w:i/>
          <w:lang w:val="sv-SE"/>
        </w:rPr>
      </w:pPr>
      <w:r>
        <w:rPr>
          <w:lang w:val="sv-SE"/>
        </w:rPr>
        <w:t xml:space="preserve">En punkt i uppdraget </w:t>
      </w:r>
      <w:r w:rsidR="00C32A51">
        <w:rPr>
          <w:lang w:val="sv-SE"/>
        </w:rPr>
        <w:t>bestod i att</w:t>
      </w:r>
      <w:r>
        <w:rPr>
          <w:lang w:val="sv-SE"/>
        </w:rPr>
        <w:t xml:space="preserve">: </w:t>
      </w:r>
      <w:r>
        <w:rPr>
          <w:i/>
          <w:iCs/>
          <w:lang w:val="sv-SE"/>
        </w:rPr>
        <w:t>”utreda och på basis av utredningen komma med eventuella förslag till ändringar av kyrkolagen och kyrkoordningen angående hur man kunde avvika från parokialprincipen vid flyttning från en församling till en annan inom samma kyrkliga samfällighet;”</w:t>
      </w:r>
    </w:p>
    <w:p w:rsidR="003A21EA" w:rsidRPr="00C32A51" w:rsidRDefault="003A21EA" w:rsidP="003A21EA">
      <w:pPr>
        <w:tabs>
          <w:tab w:val="left" w:pos="567"/>
          <w:tab w:val="left" w:pos="1134"/>
          <w:tab w:val="left" w:pos="1701"/>
        </w:tabs>
        <w:spacing w:before="240"/>
        <w:ind w:left="567"/>
        <w:jc w:val="both"/>
        <w:rPr>
          <w:lang w:val="sv-SE"/>
        </w:rPr>
      </w:pPr>
      <w:r>
        <w:rPr>
          <w:lang w:val="sv-SE"/>
        </w:rPr>
        <w:t>Kyrkostyrelsen gav sin utredning i framställning 1/2011. Enligt utredningen kan frågan om att behålla sin post som förtroendevald till slutet av mandatperioden lösas utan särski</w:t>
      </w:r>
      <w:r>
        <w:rPr>
          <w:lang w:val="sv-SE"/>
        </w:rPr>
        <w:t>l</w:t>
      </w:r>
      <w:r>
        <w:rPr>
          <w:lang w:val="sv-SE"/>
        </w:rPr>
        <w:t>da bestämmelser om man kvarstår som medlem i sin församling när man flyttar från en församling till en annan inom samma kyrkliga samfällighet. Om den förtroendevalda dä</w:t>
      </w:r>
      <w:r>
        <w:rPr>
          <w:lang w:val="sv-SE"/>
        </w:rPr>
        <w:t>r</w:t>
      </w:r>
      <w:r>
        <w:rPr>
          <w:lang w:val="sv-SE"/>
        </w:rPr>
        <w:t>emot inte kan kvarstå som medlem i församlingen ska han eller hon enligt förslaget få bli kvar på sin post till mandatperiodens slut genom att göra en anmälan. Detta kunde event</w:t>
      </w:r>
      <w:r>
        <w:rPr>
          <w:lang w:val="sv-SE"/>
        </w:rPr>
        <w:t>u</w:t>
      </w:r>
      <w:r>
        <w:rPr>
          <w:lang w:val="sv-SE"/>
        </w:rPr>
        <w:t>ellt genomföras med en undantagsbestämmelse som tas in i kyrkoordningen.</w:t>
      </w:r>
    </w:p>
    <w:p w:rsidR="003A21EA" w:rsidRPr="00C32A51" w:rsidRDefault="003A21EA" w:rsidP="003A21EA">
      <w:pPr>
        <w:tabs>
          <w:tab w:val="left" w:pos="567"/>
          <w:tab w:val="left" w:pos="1134"/>
          <w:tab w:val="left" w:pos="1701"/>
        </w:tabs>
        <w:spacing w:before="240"/>
        <w:ind w:left="567"/>
        <w:jc w:val="both"/>
        <w:rPr>
          <w:lang w:val="sv-SE"/>
        </w:rPr>
      </w:pPr>
      <w:r>
        <w:rPr>
          <w:lang w:val="sv-SE"/>
        </w:rPr>
        <w:t>Förvaltningsutskottet tog ställning till utredningen i sitt betänkande 2/2011 på följande sätt:</w:t>
      </w:r>
    </w:p>
    <w:p w:rsidR="003A21EA" w:rsidRPr="00C32A51" w:rsidRDefault="003A21EA" w:rsidP="003A21EA">
      <w:pPr>
        <w:tabs>
          <w:tab w:val="left" w:pos="567"/>
          <w:tab w:val="left" w:pos="1134"/>
          <w:tab w:val="left" w:pos="1701"/>
        </w:tabs>
        <w:spacing w:before="240"/>
        <w:ind w:left="1134"/>
        <w:jc w:val="both"/>
        <w:rPr>
          <w:i/>
          <w:sz w:val="22"/>
          <w:szCs w:val="22"/>
          <w:lang w:val="sv-SE"/>
        </w:rPr>
      </w:pPr>
      <w:r>
        <w:rPr>
          <w:i/>
          <w:iCs/>
          <w:sz w:val="22"/>
          <w:szCs w:val="22"/>
          <w:lang w:val="sv-SE"/>
        </w:rPr>
        <w:lastRenderedPageBreak/>
        <w:t>”I parokialdiskussionen har man diskuterat möjligheterna för en förtroendevald i försa</w:t>
      </w:r>
      <w:r>
        <w:rPr>
          <w:i/>
          <w:iCs/>
          <w:sz w:val="22"/>
          <w:szCs w:val="22"/>
          <w:lang w:val="sv-SE"/>
        </w:rPr>
        <w:t>m</w:t>
      </w:r>
      <w:r>
        <w:rPr>
          <w:i/>
          <w:iCs/>
          <w:sz w:val="22"/>
          <w:szCs w:val="22"/>
          <w:lang w:val="sv-SE"/>
        </w:rPr>
        <w:t>lingen att behålla sin förtroendemannaplats till mandatperiodens slut vid en flyttning från en församling till en annan inom samma kyrkliga samfällighet. Förvaltningsutskottet ko</w:t>
      </w:r>
      <w:r>
        <w:rPr>
          <w:i/>
          <w:iCs/>
          <w:sz w:val="22"/>
          <w:szCs w:val="22"/>
          <w:lang w:val="sv-SE"/>
        </w:rPr>
        <w:t>n</w:t>
      </w:r>
      <w:r>
        <w:rPr>
          <w:i/>
          <w:iCs/>
          <w:sz w:val="22"/>
          <w:szCs w:val="22"/>
          <w:lang w:val="sv-SE"/>
        </w:rPr>
        <w:t>staterar att församlingsvalet är utgångspunkten för församlingens självstyrelse. En av själ</w:t>
      </w:r>
      <w:r>
        <w:rPr>
          <w:i/>
          <w:iCs/>
          <w:sz w:val="22"/>
          <w:szCs w:val="22"/>
          <w:lang w:val="sv-SE"/>
        </w:rPr>
        <w:t>v</w:t>
      </w:r>
      <w:r>
        <w:rPr>
          <w:i/>
          <w:iCs/>
          <w:sz w:val="22"/>
          <w:szCs w:val="22"/>
          <w:lang w:val="sv-SE"/>
        </w:rPr>
        <w:t>styrelsens grundprinciper är att församlingsmedlemmar som bor inom församlingens omr</w:t>
      </w:r>
      <w:r>
        <w:rPr>
          <w:i/>
          <w:iCs/>
          <w:sz w:val="22"/>
          <w:szCs w:val="22"/>
          <w:lang w:val="sv-SE"/>
        </w:rPr>
        <w:t>å</w:t>
      </w:r>
      <w:r>
        <w:rPr>
          <w:i/>
          <w:iCs/>
          <w:sz w:val="22"/>
          <w:szCs w:val="22"/>
          <w:lang w:val="sv-SE"/>
        </w:rPr>
        <w:t>de deltar i beslutsfattandet i den församling som hör till den kyrkliga samfälligheten och därigenom bidrar till styrningen av verksamheten. Om en medlem som flyttat till en annan församling tillåts delta i församlingens förvaltning är det ägnat att undergräva principen för församlingarnas självstyrelse. Arrangemanget kan fortsätta nästan hela mandatperi</w:t>
      </w:r>
      <w:r>
        <w:rPr>
          <w:i/>
          <w:iCs/>
          <w:sz w:val="22"/>
          <w:szCs w:val="22"/>
          <w:lang w:val="sv-SE"/>
        </w:rPr>
        <w:t>o</w:t>
      </w:r>
      <w:r>
        <w:rPr>
          <w:i/>
          <w:iCs/>
          <w:sz w:val="22"/>
          <w:szCs w:val="22"/>
          <w:lang w:val="sv-SE"/>
        </w:rPr>
        <w:t>den. I kyrkans valsystem har man berett sig för att en medlem kan bytas ut.”</w:t>
      </w:r>
    </w:p>
    <w:p w:rsidR="003A21EA" w:rsidRPr="00C32A51" w:rsidRDefault="003A21EA" w:rsidP="003A21EA">
      <w:pPr>
        <w:tabs>
          <w:tab w:val="left" w:pos="567"/>
          <w:tab w:val="left" w:pos="1134"/>
          <w:tab w:val="left" w:pos="1701"/>
        </w:tabs>
        <w:spacing w:before="240"/>
        <w:ind w:left="1134"/>
        <w:jc w:val="both"/>
        <w:rPr>
          <w:i/>
          <w:sz w:val="22"/>
          <w:szCs w:val="22"/>
          <w:lang w:val="sv-SE"/>
        </w:rPr>
      </w:pPr>
      <w:r>
        <w:rPr>
          <w:i/>
          <w:iCs/>
          <w:sz w:val="22"/>
          <w:szCs w:val="22"/>
          <w:lang w:val="sv-SE"/>
        </w:rPr>
        <w:t>”I en kyrklig samfällighet är församlingens självstyrelse mer begränsad än i en församling som inte hör till en kyrklig samfällighet. I en kyrklig samfällighet sköter samfälligheten ky</w:t>
      </w:r>
      <w:r>
        <w:rPr>
          <w:i/>
          <w:iCs/>
          <w:sz w:val="22"/>
          <w:szCs w:val="22"/>
          <w:lang w:val="sv-SE"/>
        </w:rPr>
        <w:t>r</w:t>
      </w:r>
      <w:r>
        <w:rPr>
          <w:i/>
          <w:iCs/>
          <w:sz w:val="22"/>
          <w:szCs w:val="22"/>
          <w:lang w:val="sv-SE"/>
        </w:rPr>
        <w:t>kobeskattningen samt till stora delar även ekonomi- och personalförvaltningen. I en kyrklig samfällighet kommer församlingens självstyrelse närmast till uttryck som självständighet i verksamheten. Trots att en församling inom en kyrklig samfällighet sålunda har en delvis begränsad ställning anser förvaltningsutskottet utifrån den utredning utskottet fått att det inte föreligger något behov av att närmare utreda specialfrågan i anslutning till flyttning och bevarandet av platsen som förtroendevald.”</w:t>
      </w:r>
    </w:p>
    <w:p w:rsidR="003A21EA" w:rsidRPr="00C32A51" w:rsidRDefault="00B33A75" w:rsidP="003A21EA">
      <w:pPr>
        <w:tabs>
          <w:tab w:val="left" w:pos="567"/>
          <w:tab w:val="left" w:pos="1134"/>
          <w:tab w:val="left" w:pos="1701"/>
        </w:tabs>
        <w:spacing w:before="240"/>
        <w:ind w:left="567"/>
        <w:jc w:val="both"/>
        <w:rPr>
          <w:lang w:val="sv-SE"/>
        </w:rPr>
      </w:pPr>
      <w:r>
        <w:rPr>
          <w:lang w:val="sv-SE"/>
        </w:rPr>
        <w:t>N</w:t>
      </w:r>
      <w:r w:rsidR="003A21EA">
        <w:rPr>
          <w:lang w:val="sv-SE"/>
        </w:rPr>
        <w:t>är valordningen för kyrkan förnyades 2013</w:t>
      </w:r>
      <w:r>
        <w:rPr>
          <w:lang w:val="sv-SE"/>
        </w:rPr>
        <w:t xml:space="preserve"> föreslogs inga ändringar i de förtroendevaldas valbarhet</w:t>
      </w:r>
      <w:r w:rsidR="003A21EA">
        <w:rPr>
          <w:lang w:val="sv-SE"/>
        </w:rPr>
        <w:t>. Bestämmelserna utarbetades enligt förvaltningsutskottets stån</w:t>
      </w:r>
      <w:r w:rsidR="003A21EA">
        <w:rPr>
          <w:lang w:val="sv-SE"/>
        </w:rPr>
        <w:t>d</w:t>
      </w:r>
      <w:r w:rsidR="003A21EA">
        <w:rPr>
          <w:lang w:val="sv-SE"/>
        </w:rPr>
        <w:t>punkt.</w:t>
      </w:r>
    </w:p>
    <w:p w:rsidR="003A21EA" w:rsidRPr="00C32A51" w:rsidRDefault="003A21EA" w:rsidP="003A21EA">
      <w:pPr>
        <w:tabs>
          <w:tab w:val="left" w:pos="567"/>
          <w:tab w:val="left" w:pos="1134"/>
          <w:tab w:val="left" w:pos="1701"/>
        </w:tabs>
        <w:spacing w:before="240"/>
        <w:ind w:left="567"/>
        <w:jc w:val="both"/>
        <w:rPr>
          <w:lang w:val="sv-SE"/>
        </w:rPr>
      </w:pPr>
    </w:p>
    <w:p w:rsidR="003A21EA" w:rsidRPr="00C32A51" w:rsidRDefault="003A21EA" w:rsidP="003A21EA">
      <w:pPr>
        <w:tabs>
          <w:tab w:val="left" w:pos="567"/>
          <w:tab w:val="left" w:pos="1134"/>
          <w:tab w:val="left" w:pos="1701"/>
        </w:tabs>
        <w:spacing w:before="240"/>
        <w:jc w:val="both"/>
        <w:rPr>
          <w:lang w:val="sv-SE"/>
        </w:rPr>
      </w:pPr>
      <w:r>
        <w:rPr>
          <w:b/>
          <w:bCs/>
          <w:lang w:val="sv-SE"/>
        </w:rPr>
        <w:lastRenderedPageBreak/>
        <w:t>3. Bedömning av framställningen</w:t>
      </w:r>
    </w:p>
    <w:p w:rsidR="003A21EA" w:rsidRPr="00C32A51" w:rsidRDefault="003A21EA" w:rsidP="003A21EA">
      <w:pPr>
        <w:tabs>
          <w:tab w:val="left" w:pos="567"/>
          <w:tab w:val="left" w:pos="1134"/>
          <w:tab w:val="left" w:pos="1701"/>
        </w:tabs>
        <w:spacing w:before="240"/>
        <w:ind w:left="567"/>
        <w:jc w:val="both"/>
        <w:rPr>
          <w:lang w:val="sv-SE"/>
        </w:rPr>
      </w:pPr>
      <w:r>
        <w:rPr>
          <w:lang w:val="sv-SE"/>
        </w:rPr>
        <w:t>Enligt 23 kap. 2 § och 4 § i kyrkoordningen är valbarheten till förtroendeuppdrag i försa</w:t>
      </w:r>
      <w:r>
        <w:rPr>
          <w:lang w:val="sv-SE"/>
        </w:rPr>
        <w:t>m</w:t>
      </w:r>
      <w:r>
        <w:rPr>
          <w:lang w:val="sv-SE"/>
        </w:rPr>
        <w:t>lingar och kyrkliga samfälligheter bunden vid medlemskap i församlingen. Om en medlem av ett förtroendeorgan förlorar sin valbarhet befrias han eller hon från sitt förtroendeup</w:t>
      </w:r>
      <w:r>
        <w:rPr>
          <w:lang w:val="sv-SE"/>
        </w:rPr>
        <w:t>p</w:t>
      </w:r>
      <w:r>
        <w:rPr>
          <w:lang w:val="sv-SE"/>
        </w:rPr>
        <w:t>drag.</w:t>
      </w:r>
    </w:p>
    <w:p w:rsidR="003A21EA" w:rsidRPr="00C32A51" w:rsidRDefault="003A21EA" w:rsidP="003A21EA">
      <w:pPr>
        <w:tabs>
          <w:tab w:val="left" w:pos="567"/>
          <w:tab w:val="left" w:pos="1134"/>
          <w:tab w:val="left" w:pos="1701"/>
        </w:tabs>
        <w:spacing w:before="240"/>
        <w:ind w:left="567"/>
        <w:jc w:val="both"/>
        <w:rPr>
          <w:lang w:val="sv-SE"/>
        </w:rPr>
      </w:pPr>
      <w:r>
        <w:rPr>
          <w:lang w:val="sv-SE"/>
        </w:rPr>
        <w:t>Huvudprincipen i kyrkans valsystem är att representanter till församlingsrådet i försa</w:t>
      </w:r>
      <w:r>
        <w:rPr>
          <w:lang w:val="sv-SE"/>
        </w:rPr>
        <w:t>m</w:t>
      </w:r>
      <w:r>
        <w:rPr>
          <w:lang w:val="sv-SE"/>
        </w:rPr>
        <w:t>lingar och till gemensamma kyrkofullmäktige i kyrkliga samfälligheter utses genom fö</w:t>
      </w:r>
      <w:r>
        <w:rPr>
          <w:lang w:val="sv-SE"/>
        </w:rPr>
        <w:t>r</w:t>
      </w:r>
      <w:r>
        <w:rPr>
          <w:lang w:val="sv-SE"/>
        </w:rPr>
        <w:t>samlingsval. De representanter som församlingarna utser ska vara medlemmar i försa</w:t>
      </w:r>
      <w:r>
        <w:rPr>
          <w:lang w:val="sv-SE"/>
        </w:rPr>
        <w:t>m</w:t>
      </w:r>
      <w:r>
        <w:rPr>
          <w:lang w:val="sv-SE"/>
        </w:rPr>
        <w:t>lingarna. Församlingsmedlemskapet bestäms i sin tur enligt parokialprincipen. Förval</w:t>
      </w:r>
      <w:r>
        <w:rPr>
          <w:lang w:val="sv-SE"/>
        </w:rPr>
        <w:t>t</w:t>
      </w:r>
      <w:r>
        <w:rPr>
          <w:lang w:val="sv-SE"/>
        </w:rPr>
        <w:t>ningsutskottets ovan</w:t>
      </w:r>
      <w:r w:rsidR="00B33A75">
        <w:rPr>
          <w:lang w:val="sv-SE"/>
        </w:rPr>
        <w:t xml:space="preserve"> </w:t>
      </w:r>
      <w:r>
        <w:rPr>
          <w:lang w:val="sv-SE"/>
        </w:rPr>
        <w:t xml:space="preserve">nämnda beslut visar att man vill hålla principen i kraft. </w:t>
      </w:r>
    </w:p>
    <w:p w:rsidR="003A21EA" w:rsidRPr="00C32A51" w:rsidRDefault="003A21EA" w:rsidP="003A21EA">
      <w:pPr>
        <w:tabs>
          <w:tab w:val="left" w:pos="567"/>
          <w:tab w:val="left" w:pos="1134"/>
          <w:tab w:val="left" w:pos="1701"/>
        </w:tabs>
        <w:spacing w:before="240"/>
        <w:ind w:left="567"/>
        <w:jc w:val="both"/>
        <w:rPr>
          <w:lang w:val="sv-SE"/>
        </w:rPr>
      </w:pPr>
      <w:r>
        <w:rPr>
          <w:lang w:val="sv-SE"/>
        </w:rPr>
        <w:t>Stiftsfullmäktiges framställning är i vissa situationer förståelig. I urbana kyrkliga samfä</w:t>
      </w:r>
      <w:r>
        <w:rPr>
          <w:lang w:val="sv-SE"/>
        </w:rPr>
        <w:t>l</w:t>
      </w:r>
      <w:r>
        <w:rPr>
          <w:lang w:val="sv-SE"/>
        </w:rPr>
        <w:t>ligheter kan församlingarnas administrativa gräns sakna motsvarighet i en naturlig geogr</w:t>
      </w:r>
      <w:r>
        <w:rPr>
          <w:lang w:val="sv-SE"/>
        </w:rPr>
        <w:t>a</w:t>
      </w:r>
      <w:r>
        <w:rPr>
          <w:lang w:val="sv-SE"/>
        </w:rPr>
        <w:t>fisk gräns. De förtroendevalda kan flytta korta sträckor. Personen kan då känna en psykisk och andlig tillhörighet i sin tidigare församling, delta i dess verksamhet och vara motiv</w:t>
      </w:r>
      <w:r>
        <w:rPr>
          <w:lang w:val="sv-SE"/>
        </w:rPr>
        <w:t>e</w:t>
      </w:r>
      <w:r>
        <w:rPr>
          <w:lang w:val="sv-SE"/>
        </w:rPr>
        <w:t xml:space="preserve">rad att sköta sitt förtroendeuppdrag. </w:t>
      </w:r>
      <w:r w:rsidR="000D47FA">
        <w:rPr>
          <w:lang w:val="sv-SE"/>
        </w:rPr>
        <w:t xml:space="preserve">Det kan </w:t>
      </w:r>
      <w:r>
        <w:rPr>
          <w:lang w:val="sv-SE"/>
        </w:rPr>
        <w:t>kännas som en frustrerande överdrift att förlora sin post som förtroendevald. Dessutom kan det hända att den förtroendevalda inte längre har någon ersättare på den valmansföreningslista som gällde i församlingsvalet. Administrativt sett är det också av betydelse att många stora stadsförsamlingar numera är indelade i inofficiella områdesförsam</w:t>
      </w:r>
      <w:r>
        <w:rPr>
          <w:lang w:val="sv-SE"/>
        </w:rPr>
        <w:lastRenderedPageBreak/>
        <w:t>lingar som saknar både församlingsråd och tydliga administrativa gränser. Församlingarnas gränser är däremot administrativt exakta och ty</w:t>
      </w:r>
      <w:r>
        <w:rPr>
          <w:lang w:val="sv-SE"/>
        </w:rPr>
        <w:t>d</w:t>
      </w:r>
      <w:r>
        <w:rPr>
          <w:lang w:val="sv-SE"/>
        </w:rPr>
        <w:t>liga. Att det endast är varaktiga flyttningar som påverkar församlingsmedlemskap och fö</w:t>
      </w:r>
      <w:r>
        <w:rPr>
          <w:lang w:val="sv-SE"/>
        </w:rPr>
        <w:t>r</w:t>
      </w:r>
      <w:r>
        <w:rPr>
          <w:lang w:val="sv-SE"/>
        </w:rPr>
        <w:t>troendeuppdrag är också värt att notera.</w:t>
      </w:r>
    </w:p>
    <w:p w:rsidR="003A21EA" w:rsidRPr="00C32A51" w:rsidRDefault="003A21EA" w:rsidP="003A21EA">
      <w:pPr>
        <w:tabs>
          <w:tab w:val="left" w:pos="567"/>
          <w:tab w:val="left" w:pos="1134"/>
          <w:tab w:val="left" w:pos="1701"/>
        </w:tabs>
        <w:spacing w:before="240"/>
        <w:ind w:left="567"/>
        <w:jc w:val="both"/>
        <w:rPr>
          <w:lang w:val="sv-SE"/>
        </w:rPr>
      </w:pPr>
      <w:r>
        <w:rPr>
          <w:lang w:val="sv-SE"/>
        </w:rPr>
        <w:t>Framställningen skulle leda till ett undantag i parokialprincipen. Det är då fråga om hur</w:t>
      </w:r>
      <w:r>
        <w:rPr>
          <w:lang w:val="sv-SE"/>
        </w:rPr>
        <w:t>u</w:t>
      </w:r>
      <w:r>
        <w:rPr>
          <w:lang w:val="sv-SE"/>
        </w:rPr>
        <w:t xml:space="preserve">vida bevarandet av medlemskapet och posten som förtroendevald i församlingen grundar sig på personens egna utgångspunkter eller församlingens och </w:t>
      </w:r>
      <w:r w:rsidR="00EF7670">
        <w:rPr>
          <w:lang w:val="sv-SE"/>
        </w:rPr>
        <w:t xml:space="preserve">gemenskapens </w:t>
      </w:r>
      <w:r>
        <w:rPr>
          <w:lang w:val="sv-SE"/>
        </w:rPr>
        <w:t>behov. Den andliga och ecklesiologiska tanken bakom parokialprincipen är att en person deltar i gud</w:t>
      </w:r>
      <w:r>
        <w:rPr>
          <w:lang w:val="sv-SE"/>
        </w:rPr>
        <w:t>s</w:t>
      </w:r>
      <w:r>
        <w:rPr>
          <w:lang w:val="sv-SE"/>
        </w:rPr>
        <w:t xml:space="preserve">tjänstlivet och församlingsverksamheten på den ort där han eller hon bor. Församlingen är inte enbart eller ens </w:t>
      </w:r>
      <w:r w:rsidR="00EF7670">
        <w:rPr>
          <w:lang w:val="sv-SE"/>
        </w:rPr>
        <w:t xml:space="preserve">i första hand </w:t>
      </w:r>
      <w:r>
        <w:rPr>
          <w:lang w:val="sv-SE"/>
        </w:rPr>
        <w:t xml:space="preserve">en administrativ enhet utan en andlig gemenskap, Kristi kropp. Avsikten med </w:t>
      </w:r>
      <w:r w:rsidR="00EF7670">
        <w:rPr>
          <w:lang w:val="sv-SE"/>
        </w:rPr>
        <w:t xml:space="preserve">församlingen </w:t>
      </w:r>
      <w:r>
        <w:rPr>
          <w:lang w:val="sv-SE"/>
        </w:rPr>
        <w:t xml:space="preserve">är att samla de kristna som bor i samma område </w:t>
      </w:r>
      <w:r w:rsidR="00EF7670">
        <w:rPr>
          <w:lang w:val="sv-SE"/>
        </w:rPr>
        <w:t xml:space="preserve">kring </w:t>
      </w:r>
      <w:r>
        <w:rPr>
          <w:lang w:val="sv-SE"/>
        </w:rPr>
        <w:t>eva</w:t>
      </w:r>
      <w:r>
        <w:rPr>
          <w:lang w:val="sv-SE"/>
        </w:rPr>
        <w:t>n</w:t>
      </w:r>
      <w:r>
        <w:rPr>
          <w:lang w:val="sv-SE"/>
        </w:rPr>
        <w:t>geliet och sakramenten.</w:t>
      </w:r>
    </w:p>
    <w:p w:rsidR="003A21EA" w:rsidRPr="00C32A51" w:rsidRDefault="003A21EA" w:rsidP="003A21EA">
      <w:pPr>
        <w:tabs>
          <w:tab w:val="left" w:pos="567"/>
          <w:tab w:val="left" w:pos="1134"/>
          <w:tab w:val="left" w:pos="1701"/>
        </w:tabs>
        <w:spacing w:before="240"/>
        <w:ind w:left="567"/>
        <w:jc w:val="both"/>
        <w:rPr>
          <w:lang w:val="sv-SE"/>
        </w:rPr>
      </w:pPr>
      <w:r>
        <w:rPr>
          <w:lang w:val="sv-SE"/>
        </w:rPr>
        <w:t>Det föreslagna undantaget i parokialprincipen är litet, men det skulle leda till nya, stora principfrågor. Den viktigaste frågan är om en medlem i kyrkan kan välja sin församling enligt någon annan personrelaterad princip än sin boningsort. Parokialprincipen lyfter fram församlingens gemensamma bästa framom medlemmens bästa. Därför anger vals</w:t>
      </w:r>
      <w:r>
        <w:rPr>
          <w:lang w:val="sv-SE"/>
        </w:rPr>
        <w:t>y</w:t>
      </w:r>
      <w:r>
        <w:rPr>
          <w:lang w:val="sv-SE"/>
        </w:rPr>
        <w:t>s</w:t>
      </w:r>
      <w:r w:rsidR="00EF7670">
        <w:rPr>
          <w:lang w:val="sv-SE"/>
        </w:rPr>
        <w:softHyphen/>
      </w:r>
      <w:r>
        <w:rPr>
          <w:lang w:val="sv-SE"/>
        </w:rPr>
        <w:t>temet för kyrkan att medlemmarna i organ som bestämmer i församlingen ska vara pe</w:t>
      </w:r>
      <w:r>
        <w:rPr>
          <w:lang w:val="sv-SE"/>
        </w:rPr>
        <w:t>r</w:t>
      </w:r>
      <w:r>
        <w:rPr>
          <w:lang w:val="sv-SE"/>
        </w:rPr>
        <w:t>soner som är bosatta i församlingens område. I kyrkan har man ofta diskuterat möjligheten att i stället för eller utöver regionala församlingar också ha personförsamlingar. Om fra</w:t>
      </w:r>
      <w:r>
        <w:rPr>
          <w:lang w:val="sv-SE"/>
        </w:rPr>
        <w:t>m</w:t>
      </w:r>
      <w:r>
        <w:rPr>
          <w:lang w:val="sv-SE"/>
        </w:rPr>
        <w:t xml:space="preserve">ställningen godkänns är det i princip ett steg i denna riktning. Syftet med </w:t>
      </w:r>
      <w:r>
        <w:rPr>
          <w:lang w:val="sv-SE"/>
        </w:rPr>
        <w:lastRenderedPageBreak/>
        <w:t>parokialprinc</w:t>
      </w:r>
      <w:r>
        <w:rPr>
          <w:lang w:val="sv-SE"/>
        </w:rPr>
        <w:t>i</w:t>
      </w:r>
      <w:r>
        <w:rPr>
          <w:lang w:val="sv-SE"/>
        </w:rPr>
        <w:t>pen är att förhindra skillnader mellan församlingarna som beror på medlemmarnas perso</w:t>
      </w:r>
      <w:r>
        <w:rPr>
          <w:lang w:val="sv-SE"/>
        </w:rPr>
        <w:t>n</w:t>
      </w:r>
      <w:r>
        <w:rPr>
          <w:lang w:val="sv-SE"/>
        </w:rPr>
        <w:t>liga val.</w:t>
      </w:r>
    </w:p>
    <w:p w:rsidR="003A21EA" w:rsidRPr="00C32A51" w:rsidRDefault="003A21EA" w:rsidP="003A21EA">
      <w:pPr>
        <w:tabs>
          <w:tab w:val="left" w:pos="567"/>
          <w:tab w:val="left" w:pos="1134"/>
          <w:tab w:val="left" w:pos="1701"/>
        </w:tabs>
        <w:spacing w:before="240"/>
        <w:ind w:left="567"/>
        <w:jc w:val="both"/>
        <w:rPr>
          <w:lang w:val="sv-SE"/>
        </w:rPr>
      </w:pPr>
      <w:r>
        <w:rPr>
          <w:lang w:val="sv-SE"/>
        </w:rPr>
        <w:t>Enligt framställningen är ändringen lätt att genomföra i kyrkliga samfälligheter. Detta stämmer såtillvida att en flyttning från en församling till en annan inte orsakar problem i den kyrkliga samfälligheten med avseende på kyrkoskatten. I övrigt har det knappast n</w:t>
      </w:r>
      <w:r>
        <w:rPr>
          <w:lang w:val="sv-SE"/>
        </w:rPr>
        <w:t>å</w:t>
      </w:r>
      <w:r>
        <w:rPr>
          <w:lang w:val="sv-SE"/>
        </w:rPr>
        <w:t>gon betydelse om flyttningen sker mellan församlingar i en kyrklig samfällighet eller fö</w:t>
      </w:r>
      <w:r>
        <w:rPr>
          <w:lang w:val="sv-SE"/>
        </w:rPr>
        <w:t>r</w:t>
      </w:r>
      <w:r>
        <w:rPr>
          <w:lang w:val="sv-SE"/>
        </w:rPr>
        <w:t xml:space="preserve">samlingar </w:t>
      </w:r>
      <w:r w:rsidR="00EF7670">
        <w:rPr>
          <w:lang w:val="sv-SE"/>
        </w:rPr>
        <w:t xml:space="preserve">med självständig </w:t>
      </w:r>
      <w:r>
        <w:rPr>
          <w:lang w:val="sv-SE"/>
        </w:rPr>
        <w:t>ekonomi. Om framställningen godkänns uppstår frågan om det också borde vara möjligt att kvarstå som medlem när man flyttar mellan helt själ</w:t>
      </w:r>
      <w:r>
        <w:rPr>
          <w:lang w:val="sv-SE"/>
        </w:rPr>
        <w:t>v</w:t>
      </w:r>
      <w:r>
        <w:rPr>
          <w:lang w:val="sv-SE"/>
        </w:rPr>
        <w:t>ständiga församlingar. Ändringen skulle leda till ett ojämlikt bemötande av kyrkans me</w:t>
      </w:r>
      <w:r>
        <w:rPr>
          <w:lang w:val="sv-SE"/>
        </w:rPr>
        <w:t>d</w:t>
      </w:r>
      <w:r>
        <w:rPr>
          <w:lang w:val="sv-SE"/>
        </w:rPr>
        <w:t>lemmar. Vidare skulle man ifrågasätta varför just ett förtroendeuppdrag ska utgöra en grund för att behandla medlemmarna olika.</w:t>
      </w:r>
    </w:p>
    <w:p w:rsidR="003A21EA" w:rsidRPr="00C32A51" w:rsidRDefault="003A21EA" w:rsidP="003A21EA">
      <w:pPr>
        <w:tabs>
          <w:tab w:val="left" w:pos="567"/>
          <w:tab w:val="left" w:pos="1134"/>
          <w:tab w:val="left" w:pos="1701"/>
        </w:tabs>
        <w:spacing w:before="240"/>
        <w:ind w:left="567"/>
        <w:jc w:val="both"/>
        <w:rPr>
          <w:lang w:val="sv-SE"/>
        </w:rPr>
      </w:pPr>
      <w:r>
        <w:rPr>
          <w:lang w:val="sv-SE"/>
        </w:rPr>
        <w:t>Folkbokföringen har inget system för automatisk administration av medlemskapet i näm</w:t>
      </w:r>
      <w:r>
        <w:rPr>
          <w:lang w:val="sv-SE"/>
        </w:rPr>
        <w:t>n</w:t>
      </w:r>
      <w:r>
        <w:rPr>
          <w:lang w:val="sv-SE"/>
        </w:rPr>
        <w:t>da undantagsfall. För närvarande görs anteckningen om medlemskap automatiskt av pr</w:t>
      </w:r>
      <w:r>
        <w:rPr>
          <w:lang w:val="sv-SE"/>
        </w:rPr>
        <w:t>o</w:t>
      </w:r>
      <w:r>
        <w:rPr>
          <w:lang w:val="sv-SE"/>
        </w:rPr>
        <w:t xml:space="preserve">grammet enligt bostadsadressen. </w:t>
      </w:r>
      <w:r w:rsidR="00EF7670">
        <w:rPr>
          <w:lang w:val="sv-SE"/>
        </w:rPr>
        <w:t xml:space="preserve">Avvikande </w:t>
      </w:r>
      <w:r>
        <w:rPr>
          <w:lang w:val="sv-SE"/>
        </w:rPr>
        <w:t xml:space="preserve">anteckningar om församling ska införas för hand i systemet och administreras som undantag. </w:t>
      </w:r>
      <w:r w:rsidR="00EF7670">
        <w:rPr>
          <w:lang w:val="sv-SE"/>
        </w:rPr>
        <w:t xml:space="preserve">Vid </w:t>
      </w:r>
      <w:r>
        <w:rPr>
          <w:lang w:val="sv-SE"/>
        </w:rPr>
        <w:t>församlingsval ska de kontrolleras och strykas separat. Eventuella ändringar i befolkningsdatasystemet skulle b</w:t>
      </w:r>
      <w:r>
        <w:rPr>
          <w:lang w:val="sv-SE"/>
        </w:rPr>
        <w:t>e</w:t>
      </w:r>
      <w:r>
        <w:rPr>
          <w:lang w:val="sv-SE"/>
        </w:rPr>
        <w:t>talas av kyrkan.</w:t>
      </w:r>
    </w:p>
    <w:p w:rsidR="003A21EA" w:rsidRPr="00C32A51" w:rsidRDefault="003A21EA" w:rsidP="003A21EA">
      <w:pPr>
        <w:tabs>
          <w:tab w:val="left" w:pos="567"/>
          <w:tab w:val="left" w:pos="1134"/>
          <w:tab w:val="left" w:pos="1701"/>
        </w:tabs>
        <w:spacing w:before="240"/>
        <w:ind w:left="567"/>
        <w:jc w:val="both"/>
        <w:rPr>
          <w:lang w:val="sv-SE"/>
        </w:rPr>
      </w:pPr>
      <w:r>
        <w:rPr>
          <w:lang w:val="sv-SE"/>
        </w:rPr>
        <w:t xml:space="preserve">Utskottet fäster uppmärksamhet vid att församlingarna </w:t>
      </w:r>
      <w:r w:rsidR="00EF7670">
        <w:rPr>
          <w:lang w:val="sv-SE"/>
        </w:rPr>
        <w:t xml:space="preserve">ur </w:t>
      </w:r>
      <w:r>
        <w:rPr>
          <w:lang w:val="sv-SE"/>
        </w:rPr>
        <w:t xml:space="preserve">både verksamhets- och </w:t>
      </w:r>
      <w:r w:rsidR="00EF7670">
        <w:rPr>
          <w:lang w:val="sv-SE"/>
        </w:rPr>
        <w:t>förval</w:t>
      </w:r>
      <w:r w:rsidR="00EF7670">
        <w:rPr>
          <w:lang w:val="sv-SE"/>
        </w:rPr>
        <w:t>t</w:t>
      </w:r>
      <w:r w:rsidR="00EF7670">
        <w:rPr>
          <w:lang w:val="sv-SE"/>
        </w:rPr>
        <w:t xml:space="preserve">ningsperspektiv har </w:t>
      </w:r>
      <w:r>
        <w:rPr>
          <w:lang w:val="sv-SE"/>
        </w:rPr>
        <w:t>möjlighet att hålla kontakt med personer som bott i församlingens område. Förtroendeuppdrag är inte det enda sättet att påverka i församlingsarbetet. Under bere</w:t>
      </w:r>
      <w:r>
        <w:rPr>
          <w:lang w:val="sv-SE"/>
        </w:rPr>
        <w:t>d</w:t>
      </w:r>
      <w:r>
        <w:rPr>
          <w:lang w:val="sv-SE"/>
        </w:rPr>
        <w:t xml:space="preserve">ningen har det ofta </w:t>
      </w:r>
      <w:r>
        <w:rPr>
          <w:lang w:val="sv-SE"/>
        </w:rPr>
        <w:lastRenderedPageBreak/>
        <w:t>konstaterats att man kan delta i församlingarnas andliga liv över fö</w:t>
      </w:r>
      <w:r>
        <w:rPr>
          <w:lang w:val="sv-SE"/>
        </w:rPr>
        <w:t>r</w:t>
      </w:r>
      <w:r>
        <w:rPr>
          <w:lang w:val="sv-SE"/>
        </w:rPr>
        <w:t>samlingsgränserna. En utflyttad församlingsmedlem kan däremot inte vara en administr</w:t>
      </w:r>
      <w:r>
        <w:rPr>
          <w:lang w:val="sv-SE"/>
        </w:rPr>
        <w:t>a</w:t>
      </w:r>
      <w:r>
        <w:rPr>
          <w:lang w:val="sv-SE"/>
        </w:rPr>
        <w:t>tiv beslutsfattare. Om en persons sakkunskap i vissa frågor anses viktig kan församling</w:t>
      </w:r>
      <w:r>
        <w:rPr>
          <w:lang w:val="sv-SE"/>
        </w:rPr>
        <w:t>s</w:t>
      </w:r>
      <w:r>
        <w:rPr>
          <w:lang w:val="sv-SE"/>
        </w:rPr>
        <w:t xml:space="preserve">rådet höra personen som sakkunnig.  </w:t>
      </w:r>
    </w:p>
    <w:p w:rsidR="003A21EA" w:rsidRPr="00C32A51" w:rsidRDefault="003A21EA" w:rsidP="003A21EA">
      <w:pPr>
        <w:tabs>
          <w:tab w:val="left" w:pos="567"/>
          <w:tab w:val="left" w:pos="1134"/>
          <w:tab w:val="left" w:pos="1701"/>
        </w:tabs>
        <w:spacing w:before="240"/>
        <w:jc w:val="both"/>
        <w:rPr>
          <w:i/>
          <w:lang w:val="sv-SE"/>
        </w:rPr>
      </w:pPr>
    </w:p>
    <w:p w:rsidR="003A21EA" w:rsidRPr="00C32A51" w:rsidRDefault="003A21EA" w:rsidP="003A21EA">
      <w:pPr>
        <w:keepNext/>
        <w:tabs>
          <w:tab w:val="left" w:pos="567"/>
          <w:tab w:val="left" w:pos="1134"/>
          <w:tab w:val="left" w:pos="1701"/>
        </w:tabs>
        <w:spacing w:before="240"/>
        <w:jc w:val="both"/>
        <w:rPr>
          <w:b/>
          <w:lang w:val="sv-SE"/>
        </w:rPr>
      </w:pPr>
      <w:r>
        <w:rPr>
          <w:b/>
          <w:bCs/>
          <w:lang w:val="sv-SE"/>
        </w:rPr>
        <w:t>4. Utskottets ställningstagande</w:t>
      </w:r>
    </w:p>
    <w:p w:rsidR="003A21EA" w:rsidRPr="00C32A51" w:rsidRDefault="003A21EA" w:rsidP="003A21EA">
      <w:pPr>
        <w:tabs>
          <w:tab w:val="left" w:pos="567"/>
          <w:tab w:val="left" w:pos="1134"/>
          <w:tab w:val="left" w:pos="1701"/>
        </w:tabs>
        <w:spacing w:before="240"/>
        <w:ind w:left="567"/>
        <w:jc w:val="both"/>
        <w:rPr>
          <w:lang w:val="sv-SE"/>
        </w:rPr>
      </w:pPr>
      <w:r>
        <w:rPr>
          <w:lang w:val="sv-SE"/>
        </w:rPr>
        <w:t>Utskottet förordar inte att framställningen godkänns. Kyrkomötet har utifrån förvaltning</w:t>
      </w:r>
      <w:r>
        <w:rPr>
          <w:lang w:val="sv-SE"/>
        </w:rPr>
        <w:t>s</w:t>
      </w:r>
      <w:r>
        <w:rPr>
          <w:lang w:val="sv-SE"/>
        </w:rPr>
        <w:t xml:space="preserve">utskottets beredning behandlat ärendet principiellt för några år sedan. Den valordning som godkändes 2013 utarbetades i enlighet med detta. Utskottet förstår de frågor som ligger bakom framställningen. Några nya grunder som skulle föranleda en ny lösning har dock inte framkommit. </w:t>
      </w:r>
    </w:p>
    <w:p w:rsidR="003A21EA" w:rsidRPr="00C32A51" w:rsidRDefault="003A21EA" w:rsidP="003A21EA">
      <w:pPr>
        <w:tabs>
          <w:tab w:val="left" w:pos="567"/>
          <w:tab w:val="left" w:pos="1134"/>
          <w:tab w:val="left" w:pos="1701"/>
        </w:tabs>
        <w:spacing w:before="240"/>
        <w:ind w:left="567"/>
        <w:jc w:val="both"/>
        <w:rPr>
          <w:lang w:val="sv-SE"/>
        </w:rPr>
      </w:pPr>
      <w:r>
        <w:rPr>
          <w:lang w:val="sv-SE"/>
        </w:rPr>
        <w:t>Parokialprincipen bygger på en andlig, ecklesiologisk uppfattning om församlingens och kyrkans väsen. En fördel med att noga följa denna princip är att bestämmelserna behandlar alla medlemmar lika. Utskottet anser att medlemskapet i en församling ska bestämmas på ett tydligt och jämlikt sätt. Att införa undantag skulle leda till nya frågor som är svåra att motivera ur likabehandlingssynvinkel. Om parokialprincipen slopas ska det hellre grunda sig på principiella beslut än på undantagsbestämmelser. Ett undantag skulle också medföra ett besvärligt manuellt arbete i folkbokföringen, eftersom det inte kan administreras aut</w:t>
      </w:r>
      <w:r>
        <w:rPr>
          <w:lang w:val="sv-SE"/>
        </w:rPr>
        <w:t>o</w:t>
      </w:r>
      <w:r>
        <w:rPr>
          <w:lang w:val="sv-SE"/>
        </w:rPr>
        <w:t>matiskt.</w:t>
      </w:r>
    </w:p>
    <w:p w:rsidR="003A21EA" w:rsidRPr="00C32A51" w:rsidRDefault="003A21EA" w:rsidP="003A21EA">
      <w:pPr>
        <w:tabs>
          <w:tab w:val="left" w:pos="567"/>
          <w:tab w:val="left" w:pos="1134"/>
          <w:tab w:val="left" w:pos="1701"/>
        </w:tabs>
        <w:spacing w:before="240"/>
        <w:ind w:left="567"/>
        <w:jc w:val="both"/>
        <w:rPr>
          <w:i/>
          <w:lang w:val="sv-SE"/>
        </w:rPr>
      </w:pPr>
    </w:p>
    <w:p w:rsidR="003A21EA" w:rsidRPr="00C32A51" w:rsidRDefault="003A21EA" w:rsidP="003A21EA">
      <w:pPr>
        <w:keepNext/>
        <w:tabs>
          <w:tab w:val="left" w:pos="567"/>
          <w:tab w:val="left" w:pos="1134"/>
          <w:tab w:val="left" w:pos="1701"/>
        </w:tabs>
        <w:spacing w:before="240"/>
        <w:jc w:val="both"/>
        <w:rPr>
          <w:b/>
          <w:lang w:val="sv-SE"/>
        </w:rPr>
      </w:pPr>
      <w:r>
        <w:rPr>
          <w:b/>
          <w:bCs/>
          <w:lang w:val="sv-SE"/>
        </w:rPr>
        <w:lastRenderedPageBreak/>
        <w:t xml:space="preserve">5. Utskottets framställning </w:t>
      </w:r>
    </w:p>
    <w:p w:rsidR="003A21EA" w:rsidRPr="00C32A51" w:rsidRDefault="003A21EA" w:rsidP="003A21EA">
      <w:pPr>
        <w:tabs>
          <w:tab w:val="left" w:pos="567"/>
          <w:tab w:val="left" w:pos="1134"/>
          <w:tab w:val="left" w:pos="1701"/>
        </w:tabs>
        <w:spacing w:before="240"/>
        <w:ind w:left="567"/>
        <w:jc w:val="both"/>
        <w:rPr>
          <w:lang w:val="sv-SE"/>
        </w:rPr>
      </w:pPr>
      <w:r>
        <w:rPr>
          <w:lang w:val="sv-SE"/>
        </w:rPr>
        <w:t>Allmänna utskottet föreslår att kyrkomötet låter stiftsfullmäktigeframställning 1/2016 fö</w:t>
      </w:r>
      <w:r>
        <w:rPr>
          <w:lang w:val="sv-SE"/>
        </w:rPr>
        <w:t>r</w:t>
      </w:r>
      <w:r>
        <w:rPr>
          <w:lang w:val="sv-SE"/>
        </w:rPr>
        <w:t>falla.</w:t>
      </w:r>
    </w:p>
    <w:p w:rsidR="003A21EA" w:rsidRPr="00C32A51" w:rsidRDefault="003A21EA" w:rsidP="003A21EA">
      <w:pPr>
        <w:tabs>
          <w:tab w:val="left" w:pos="567"/>
          <w:tab w:val="left" w:pos="1134"/>
          <w:tab w:val="left" w:pos="1701"/>
        </w:tabs>
        <w:spacing w:before="240"/>
        <w:ind w:left="567"/>
        <w:jc w:val="both"/>
        <w:rPr>
          <w:lang w:val="sv-SE"/>
        </w:rPr>
      </w:pPr>
      <w:r>
        <w:rPr>
          <w:lang w:val="sv-SE"/>
        </w:rPr>
        <w:t>Helsingfors den 18 augusti 2016</w:t>
      </w:r>
    </w:p>
    <w:p w:rsidR="003A21EA" w:rsidRPr="00C32A51" w:rsidRDefault="003A21EA" w:rsidP="003A21EA">
      <w:pPr>
        <w:tabs>
          <w:tab w:val="left" w:pos="567"/>
          <w:tab w:val="left" w:pos="1134"/>
          <w:tab w:val="left" w:pos="1701"/>
        </w:tabs>
        <w:spacing w:before="240"/>
        <w:ind w:left="567"/>
        <w:jc w:val="both"/>
        <w:rPr>
          <w:lang w:val="sv-SE"/>
        </w:rPr>
      </w:pPr>
      <w:r>
        <w:rPr>
          <w:lang w:val="sv-SE"/>
        </w:rPr>
        <w:t>För allmänna utskottet</w:t>
      </w:r>
    </w:p>
    <w:p w:rsidR="003A21EA" w:rsidRPr="00C32A51" w:rsidRDefault="003A21EA" w:rsidP="003A21EA">
      <w:pPr>
        <w:tabs>
          <w:tab w:val="left" w:pos="567"/>
          <w:tab w:val="left" w:pos="1134"/>
          <w:tab w:val="left" w:pos="1701"/>
        </w:tabs>
        <w:spacing w:before="240"/>
        <w:ind w:left="567"/>
        <w:rPr>
          <w:lang w:val="sv-SE"/>
        </w:rPr>
      </w:pPr>
      <w:r w:rsidRPr="00C32A51">
        <w:rPr>
          <w:lang w:val="sv-SE"/>
        </w:rPr>
        <w:t xml:space="preserve"> </w:t>
      </w:r>
    </w:p>
    <w:p w:rsidR="003A21EA" w:rsidRPr="00C32A51" w:rsidRDefault="003A21EA" w:rsidP="003A21EA">
      <w:pPr>
        <w:tabs>
          <w:tab w:val="left" w:pos="567"/>
          <w:tab w:val="left" w:pos="1134"/>
          <w:tab w:val="left" w:pos="1701"/>
        </w:tabs>
        <w:spacing w:before="240"/>
        <w:ind w:left="567"/>
        <w:rPr>
          <w:lang w:val="sv-SE"/>
        </w:rPr>
      </w:pPr>
    </w:p>
    <w:p w:rsidR="003A21EA" w:rsidRPr="00C32A51" w:rsidRDefault="003A21EA" w:rsidP="003A21EA">
      <w:pPr>
        <w:tabs>
          <w:tab w:val="left" w:pos="567"/>
          <w:tab w:val="left" w:pos="1134"/>
          <w:tab w:val="left" w:pos="1701"/>
        </w:tabs>
        <w:ind w:left="567"/>
        <w:rPr>
          <w:lang w:val="sv-SE"/>
        </w:rPr>
      </w:pPr>
      <w:r>
        <w:rPr>
          <w:lang w:val="sv-SE"/>
        </w:rPr>
        <w:t>Johanna Korhonen</w:t>
      </w:r>
      <w:r>
        <w:rPr>
          <w:lang w:val="sv-SE"/>
        </w:rPr>
        <w:tab/>
      </w:r>
      <w:r>
        <w:rPr>
          <w:lang w:val="sv-SE"/>
        </w:rPr>
        <w:tab/>
      </w:r>
      <w:r w:rsidR="002B1D93">
        <w:rPr>
          <w:lang w:val="sv-SE"/>
        </w:rPr>
        <w:tab/>
        <w:t>Henri Lehtola</w:t>
      </w:r>
    </w:p>
    <w:p w:rsidR="003A21EA" w:rsidRPr="00C32A51" w:rsidRDefault="003A21EA" w:rsidP="003A21EA">
      <w:pPr>
        <w:tabs>
          <w:tab w:val="left" w:pos="567"/>
          <w:tab w:val="left" w:pos="1134"/>
          <w:tab w:val="left" w:pos="1701"/>
        </w:tabs>
        <w:ind w:left="567"/>
        <w:rPr>
          <w:lang w:val="sv-SE"/>
        </w:rPr>
      </w:pPr>
      <w:r>
        <w:rPr>
          <w:lang w:val="sv-SE"/>
        </w:rPr>
        <w:t>ordförande</w:t>
      </w:r>
      <w:r>
        <w:rPr>
          <w:lang w:val="sv-SE"/>
        </w:rPr>
        <w:tab/>
      </w:r>
      <w:r>
        <w:rPr>
          <w:lang w:val="sv-SE"/>
        </w:rPr>
        <w:tab/>
      </w:r>
      <w:r>
        <w:rPr>
          <w:lang w:val="sv-SE"/>
        </w:rPr>
        <w:tab/>
      </w:r>
      <w:r w:rsidR="002B1D93">
        <w:rPr>
          <w:lang w:val="sv-SE"/>
        </w:rPr>
        <w:tab/>
        <w:t>sekreterare</w:t>
      </w:r>
    </w:p>
    <w:p w:rsidR="003A21EA" w:rsidRPr="00C32A51" w:rsidRDefault="003A21EA" w:rsidP="003A21EA">
      <w:pPr>
        <w:tabs>
          <w:tab w:val="left" w:pos="567"/>
          <w:tab w:val="left" w:pos="1134"/>
          <w:tab w:val="left" w:pos="1701"/>
        </w:tabs>
        <w:ind w:left="720"/>
        <w:rPr>
          <w:lang w:val="sv-SE"/>
        </w:rPr>
      </w:pPr>
    </w:p>
    <w:p w:rsidR="003A21EA" w:rsidRPr="00C32A51" w:rsidRDefault="003A21EA" w:rsidP="003A21EA">
      <w:pPr>
        <w:tabs>
          <w:tab w:val="left" w:pos="567"/>
          <w:tab w:val="left" w:pos="1134"/>
          <w:tab w:val="left" w:pos="1701"/>
        </w:tabs>
        <w:ind w:left="720"/>
        <w:rPr>
          <w:lang w:val="sv-SE"/>
        </w:rPr>
      </w:pPr>
    </w:p>
    <w:p w:rsidR="003A21EA" w:rsidRPr="00C32A51" w:rsidRDefault="003A21EA" w:rsidP="002B1D93">
      <w:pPr>
        <w:tabs>
          <w:tab w:val="left" w:pos="567"/>
          <w:tab w:val="left" w:pos="1134"/>
          <w:tab w:val="left" w:pos="1701"/>
        </w:tabs>
        <w:ind w:left="567" w:firstLine="11"/>
        <w:rPr>
          <w:lang w:val="sv-SE"/>
        </w:rPr>
      </w:pPr>
      <w:r>
        <w:rPr>
          <w:lang w:val="sv-SE"/>
        </w:rPr>
        <w:t>I behandlingen av ärendet deltog ordförande Johanna Korhonen och medlemmarna</w:t>
      </w:r>
      <w:r w:rsidR="002B1D93" w:rsidRPr="00C32A51">
        <w:rPr>
          <w:lang w:val="sv-SE"/>
        </w:rPr>
        <w:t xml:space="preserve"> </w:t>
      </w:r>
      <w:r>
        <w:rPr>
          <w:lang w:val="sv-SE"/>
        </w:rPr>
        <w:t>Bror Gammals, Mari Korhonen, Tuija Kruus, Jukka Harvala, Eeva-Riitta Hahtola, Hannele Karppinen, Kirsi Ojansuu-Kaunisto, Pekka Kosonen, Paula Lehmuskallio, Mirjami Mä</w:t>
      </w:r>
      <w:r>
        <w:rPr>
          <w:lang w:val="sv-SE"/>
        </w:rPr>
        <w:t>n</w:t>
      </w:r>
      <w:r>
        <w:rPr>
          <w:lang w:val="sv-SE"/>
        </w:rPr>
        <w:t>tymaa, Marianna Parpala (delvis), Niilo Räsänen och Pekka Särkiö.</w:t>
      </w:r>
    </w:p>
    <w:sectPr w:rsidR="003A21EA" w:rsidRPr="00C32A51" w:rsidSect="003A21EA">
      <w:headerReference w:type="even" r:id="rId8"/>
      <w:headerReference w:type="default" r:id="rId9"/>
      <w:pgSz w:w="11906" w:h="16838"/>
      <w:pgMar w:top="96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70F" w:rsidRDefault="0001370F">
      <w:r>
        <w:separator/>
      </w:r>
    </w:p>
    <w:p w:rsidR="0001370F" w:rsidRDefault="0001370F"/>
  </w:endnote>
  <w:endnote w:type="continuationSeparator" w:id="0">
    <w:p w:rsidR="0001370F" w:rsidRDefault="0001370F">
      <w:r>
        <w:continuationSeparator/>
      </w:r>
    </w:p>
    <w:p w:rsidR="0001370F" w:rsidRDefault="00013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70F" w:rsidRDefault="0001370F">
      <w:r>
        <w:separator/>
      </w:r>
    </w:p>
    <w:p w:rsidR="0001370F" w:rsidRDefault="0001370F"/>
  </w:footnote>
  <w:footnote w:type="continuationSeparator" w:id="0">
    <w:p w:rsidR="0001370F" w:rsidRDefault="0001370F">
      <w:r>
        <w:continuationSeparator/>
      </w:r>
    </w:p>
    <w:p w:rsidR="0001370F" w:rsidRDefault="000137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1EA" w:rsidRDefault="003A21EA" w:rsidP="003A21EA">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rPr>
      <w:fldChar w:fldCharType="end"/>
    </w:r>
  </w:p>
  <w:p w:rsidR="003A21EA" w:rsidRDefault="003A21EA">
    <w:pPr>
      <w:pStyle w:val="Yltunniste"/>
    </w:pPr>
  </w:p>
  <w:p w:rsidR="003A21EA" w:rsidRDefault="003A21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1EA" w:rsidRDefault="003A21EA" w:rsidP="003A21EA">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B26FB8">
      <w:rPr>
        <w:rStyle w:val="Sivunumero"/>
        <w:noProof/>
      </w:rPr>
      <w:t>2</w:t>
    </w:r>
    <w:r>
      <w:rPr>
        <w:rStyle w:val="Sivunumero"/>
      </w:rPr>
      <w:fldChar w:fldCharType="end"/>
    </w:r>
  </w:p>
  <w:p w:rsidR="003A21EA" w:rsidRDefault="003A21EA">
    <w:pPr>
      <w:pStyle w:val="Yltunniste"/>
    </w:pPr>
  </w:p>
  <w:p w:rsidR="003A21EA" w:rsidRDefault="003A21EA">
    <w:pPr>
      <w:pStyle w:val="Yltunniste"/>
    </w:pPr>
  </w:p>
  <w:p w:rsidR="003A21EA" w:rsidRDefault="003A21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5"/>
    <w:lvl w:ilvl="0">
      <w:start w:val="1"/>
      <w:numFmt w:val="decimal"/>
      <w:lvlText w:val="%1)"/>
      <w:lvlJc w:val="left"/>
      <w:pPr>
        <w:tabs>
          <w:tab w:val="num" w:pos="1440"/>
        </w:tabs>
        <w:ind w:left="1440" w:hanging="360"/>
      </w:pPr>
    </w:lvl>
  </w:abstractNum>
  <w:abstractNum w:abstractNumId="1" w15:restartNumberingAfterBreak="0">
    <w:nsid w:val="17234910"/>
    <w:multiLevelType w:val="hybridMultilevel"/>
    <w:tmpl w:val="61B6F392"/>
    <w:lvl w:ilvl="0">
      <w:start w:val="2"/>
      <w:numFmt w:val="bullet"/>
      <w:lvlText w:val=""/>
      <w:lvlJc w:val="left"/>
      <w:pPr>
        <w:ind w:left="927" w:hanging="360"/>
      </w:pPr>
      <w:rPr>
        <w:rFonts w:ascii="Symbol" w:eastAsia="Times New Roman" w:hAnsi="Symbol"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 w15:restartNumberingAfterBreak="0">
    <w:nsid w:val="29AC78D8"/>
    <w:multiLevelType w:val="hybridMultilevel"/>
    <w:tmpl w:val="85EE64EC"/>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 w15:restartNumberingAfterBreak="0">
    <w:nsid w:val="3E3F4168"/>
    <w:multiLevelType w:val="hybridMultilevel"/>
    <w:tmpl w:val="C2E4490A"/>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 w15:restartNumberingAfterBreak="0">
    <w:nsid w:val="63CA16FD"/>
    <w:multiLevelType w:val="hybridMultilevel"/>
    <w:tmpl w:val="DBB2BB2A"/>
    <w:lvl w:ilvl="0">
      <w:start w:val="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50"/>
    <w:rsid w:val="0001370F"/>
    <w:rsid w:val="000D47FA"/>
    <w:rsid w:val="0029207A"/>
    <w:rsid w:val="002B1D93"/>
    <w:rsid w:val="003A21EA"/>
    <w:rsid w:val="00B26FB8"/>
    <w:rsid w:val="00B33A75"/>
    <w:rsid w:val="00C1018B"/>
    <w:rsid w:val="00C32A51"/>
    <w:rsid w:val="00EF6D95"/>
    <w:rsid w:val="00EF76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E25F83FF-5F6E-458C-BB2B-6944A48E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85145"/>
    <w:rPr>
      <w:sz w:val="24"/>
      <w:szCs w:val="24"/>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ietint-Potsikko">
    <w:name w:val="Mietintö-Pääotsikko"/>
    <w:basedOn w:val="Normaali"/>
    <w:rsid w:val="00CE0E81"/>
    <w:rPr>
      <w:b/>
    </w:rPr>
  </w:style>
  <w:style w:type="paragraph" w:styleId="Sisennettyleipteksti">
    <w:name w:val="Body Text Indent"/>
    <w:basedOn w:val="Normaali"/>
    <w:rsid w:val="00CE0E81"/>
    <w:pPr>
      <w:ind w:left="3912"/>
    </w:pPr>
    <w:rPr>
      <w:b/>
      <w:bCs/>
    </w:rPr>
  </w:style>
  <w:style w:type="paragraph" w:styleId="Sisennettyleipteksti3">
    <w:name w:val="Body Text Indent 3"/>
    <w:basedOn w:val="Normaali"/>
    <w:rsid w:val="00825684"/>
    <w:pPr>
      <w:spacing w:after="120"/>
      <w:ind w:left="283"/>
    </w:pPr>
    <w:rPr>
      <w:sz w:val="16"/>
      <w:szCs w:val="16"/>
    </w:rPr>
  </w:style>
  <w:style w:type="paragraph" w:styleId="Yltunniste">
    <w:name w:val="header"/>
    <w:basedOn w:val="Normaali"/>
    <w:rsid w:val="00AF47C5"/>
    <w:pPr>
      <w:tabs>
        <w:tab w:val="center" w:pos="4819"/>
        <w:tab w:val="right" w:pos="9638"/>
      </w:tabs>
    </w:pPr>
  </w:style>
  <w:style w:type="character" w:styleId="Sivunumero">
    <w:name w:val="page number"/>
    <w:basedOn w:val="Kappaleenoletusfontti"/>
    <w:rsid w:val="00AF47C5"/>
  </w:style>
  <w:style w:type="character" w:styleId="Hyperlinkki">
    <w:name w:val="Hyperlink"/>
    <w:rsid w:val="00F81B4F"/>
    <w:rPr>
      <w:color w:val="0000FF"/>
      <w:u w:val="single"/>
    </w:rPr>
  </w:style>
  <w:style w:type="paragraph" w:customStyle="1" w:styleId="Leipis">
    <w:name w:val="Leipis"/>
    <w:basedOn w:val="Normaali"/>
    <w:link w:val="LeipisChar1"/>
    <w:rsid w:val="00D16031"/>
    <w:pPr>
      <w:tabs>
        <w:tab w:val="left" w:pos="454"/>
      </w:tabs>
      <w:jc w:val="both"/>
    </w:pPr>
  </w:style>
  <w:style w:type="character" w:customStyle="1" w:styleId="LeipisChar1">
    <w:name w:val="Leipis Char1"/>
    <w:link w:val="Leipis"/>
    <w:rsid w:val="00D16031"/>
    <w:rPr>
      <w:sz w:val="24"/>
      <w:szCs w:val="24"/>
      <w:lang w:val="fi-FI" w:eastAsia="fi-FI" w:bidi="ar-SA"/>
    </w:rPr>
  </w:style>
  <w:style w:type="paragraph" w:styleId="Alatunniste">
    <w:name w:val="footer"/>
    <w:basedOn w:val="Normaali"/>
    <w:rsid w:val="00BC1862"/>
    <w:pPr>
      <w:tabs>
        <w:tab w:val="center" w:pos="4819"/>
        <w:tab w:val="right" w:pos="9638"/>
      </w:tabs>
    </w:pPr>
  </w:style>
  <w:style w:type="table" w:styleId="TaulukkoRuudukko">
    <w:name w:val="Table Grid"/>
    <w:basedOn w:val="Normaalitaulukko"/>
    <w:rsid w:val="00B53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viitteenteksti">
    <w:name w:val="footnote text"/>
    <w:basedOn w:val="Normaali"/>
    <w:link w:val="AlaviitteentekstiChar"/>
    <w:rsid w:val="003D0391"/>
    <w:rPr>
      <w:sz w:val="20"/>
      <w:szCs w:val="20"/>
    </w:rPr>
  </w:style>
  <w:style w:type="character" w:customStyle="1" w:styleId="AlaviitteentekstiChar">
    <w:name w:val="Alaviitteen teksti Char"/>
    <w:basedOn w:val="Kappaleenoletusfontti"/>
    <w:link w:val="Alaviitteenteksti"/>
    <w:rsid w:val="003D0391"/>
  </w:style>
  <w:style w:type="character" w:styleId="Alaviitteenviite">
    <w:name w:val="footnote reference"/>
    <w:rsid w:val="003D0391"/>
    <w:rPr>
      <w:vertAlign w:val="superscript"/>
    </w:rPr>
  </w:style>
  <w:style w:type="character" w:styleId="AvattuHyperlinkki">
    <w:name w:val="FollowedHyperlink"/>
    <w:rsid w:val="00A20EF0"/>
    <w:rPr>
      <w:color w:val="800080"/>
      <w:u w:val="single"/>
    </w:rPr>
  </w:style>
  <w:style w:type="paragraph" w:customStyle="1" w:styleId="MediumGrid2">
    <w:name w:val="Medium Grid 2"/>
    <w:uiPriority w:val="1"/>
    <w:qFormat/>
    <w:rsid w:val="00582AD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55108-9251-4E32-9BAB-B254C4CF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10346</Characters>
  <Application>Microsoft Office Word</Application>
  <DocSecurity>4</DocSecurity>
  <Lines>86</Lines>
  <Paragraphs>23</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VERSIO  9</vt:lpstr>
      <vt:lpstr>VERSIO  9</vt:lpstr>
    </vt:vector>
  </TitlesOfParts>
  <Company>DIAK Turku</Company>
  <LinksUpToDate>false</LinksUpToDate>
  <CharactersWithSpaces>11600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  9</dc:title>
  <dc:subject/>
  <dc:creator>Kirjasto</dc:creator>
  <cp:keywords/>
  <cp:lastModifiedBy>Aarnio-Jääskeläinen Liisa</cp:lastModifiedBy>
  <cp:revision>2</cp:revision>
  <cp:lastPrinted>2007-05-10T09:26:00Z</cp:lastPrinted>
  <dcterms:created xsi:type="dcterms:W3CDTF">2016-10-03T14:20:00Z</dcterms:created>
  <dcterms:modified xsi:type="dcterms:W3CDTF">2016-10-03T14:20:00Z</dcterms:modified>
</cp:coreProperties>
</file>